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B616C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CA2836" w:rsidRPr="00D94D43">
        <w:rPr>
          <w:rFonts w:ascii="Verdana" w:hAnsi="Verdana"/>
          <w:sz w:val="18"/>
          <w:szCs w:val="18"/>
          <w:lang w:val="en-US"/>
        </w:rPr>
        <w:t>Vyšší Brod Klášter ON – oprava výpravní budovy</w:t>
      </w:r>
      <w:r w:rsidR="00CA2836" w:rsidRPr="00D94D43">
        <w:rPr>
          <w:rFonts w:ascii="Verdana" w:hAnsi="Verdana"/>
          <w:sz w:val="18"/>
          <w:szCs w:val="18"/>
        </w:rPr>
        <w:t>„</w:t>
      </w:r>
      <w:r w:rsidR="00CA2836">
        <w:rPr>
          <w:rFonts w:ascii="Verdana" w:hAnsi="Verdana"/>
          <w:sz w:val="18"/>
          <w:szCs w:val="18"/>
        </w:rPr>
        <w:t xml:space="preserve"> RVZ: 65420164</w:t>
      </w:r>
      <w:r w:rsidR="00CA2836" w:rsidRPr="00D94D43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B616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B616C" w:rsidRPr="006B616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616C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836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32D97D2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31FA78-189C-4533-AC8C-BB4C09A3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2020-01-31T12:39:00Z</dcterms:created>
  <dcterms:modified xsi:type="dcterms:W3CDTF">2020-06-08T17:43:00Z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